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BF" w:rsidRPr="006828BF" w:rsidRDefault="006828BF" w:rsidP="006828BF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ИНСТРУКЦИИ ЗА УПОТРЕБА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„КРЕЗОТИН” (CRESOTIN)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„КРЕЗОТИН” 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№2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ИНДИКАЦИИ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Използва се в стоматологията. Професионална употреба в здравно заведение.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Течност № 2 „КРЕЗОТИН”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се използва за антисептична обработка на инфектираните канали на зъбите при напреднали пулпити, а също така и при апексна резекция на корен.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СПЕЦИАЛНИ ПРЕДПАЗНИ МЕРКИ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Лекарствена идиосинкразия. Не злоупотребявайте.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ВЪЗМОЖНИ НЕГАТИВНИ ЕФЕКТИ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Ако са удовлетворени условията за съхранение, транспорт и инструкциите са спазени, няма неблагоприятни ефекти.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СЪСТАВ И КЛИНИЧНА ФАРМАКОЛОГИЯ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Течност № 2 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съдържа: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- фенол, формалдехид – антисептици, чийто механизъм на действие е свързан с денатурирането на протеините на микроорганизмите, което осигурява антисептично свойство и дълбока мумификация, а също така и стерилизация на кореновите канали на зъба.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МЕТОД НА ПРИЛОЖЕНИЕ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Течност № 2 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се прилага с използване на тесни памучни тампони, които се напояват в течността и се притискат леко навън с цел избягване на теч на препарата; той се задържа в отвора на зъбния канал под временна пломба за 2-3 дни. Инфектираните канали се обработват с напоените памучни тампони, които могат да бъдат използвани за временното приложение като се задържат в канала. Необходимо е памучният тампон да бъде отстранен след 2-3 дни, да се обработи канала отново и да се запечата стерилния зъбен канал с</w:t>
      </w:r>
      <w:r w:rsidRPr="006828BF">
        <w:rPr>
          <w:rFonts w:ascii="Verdana" w:eastAsia="Times New Roman" w:hAnsi="Verdana" w:cs="Times New Roman"/>
          <w:color w:val="1D1D1D"/>
          <w:sz w:val="17"/>
          <w:lang w:eastAsia="bg-BG"/>
        </w:rPr>
        <w:t> </w:t>
      </w: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пастата „КРЕЗОТИН”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. След запълване на канала е необходимо да се извърши изолиране чрез стъкло-йономерен цимент и да се възстанови коронката на зъба.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Внимание!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Затворете материала плътно след употреба.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ФОРМА НА ПРЕДСТАВЯНЕ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Течност № 2   -15 мл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Инструкция за употреба 1 бр.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СЪХРАНЕНИЕ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Съхранявайте при температура от 5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vertAlign w:val="superscript"/>
          <w:lang w:eastAsia="bg-BG"/>
        </w:rPr>
        <w:t>о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С до 25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vertAlign w:val="superscript"/>
          <w:lang w:eastAsia="bg-BG"/>
        </w:rPr>
        <w:t>о</w:t>
      </w: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С. Съхранявайте на сухо място.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lastRenderedPageBreak/>
        <w:t>Затворете плътно контейнера веднага след употреба. Не използвайте след изтичане срока на годност.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Срок на годност: 3 години от датата на производство.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b/>
          <w:bCs/>
          <w:color w:val="1D1D1D"/>
          <w:sz w:val="17"/>
          <w:lang w:eastAsia="bg-BG"/>
        </w:rPr>
        <w:t>ПРОИЗВОДИТЕЛ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„ТехноДент” Ко. Лтд.</w:t>
      </w:r>
    </w:p>
    <w:p w:rsidR="006828BF" w:rsidRPr="006828BF" w:rsidRDefault="006828BF" w:rsidP="006828BF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 </w:t>
      </w:r>
    </w:p>
    <w:p w:rsidR="006828BF" w:rsidRPr="006828BF" w:rsidRDefault="006828BF" w:rsidP="006828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</w:pPr>
      <w:r w:rsidRPr="006828BF">
        <w:rPr>
          <w:rFonts w:ascii="Verdana" w:eastAsia="Times New Roman" w:hAnsi="Verdana" w:cs="Times New Roman"/>
          <w:color w:val="1D1D1D"/>
          <w:sz w:val="17"/>
          <w:szCs w:val="17"/>
          <w:lang w:eastAsia="bg-BG"/>
        </w:rPr>
        <w:t>Аналози: “Rockle's” – “Septodont”,Франция</w:t>
      </w:r>
    </w:p>
    <w:p w:rsidR="005C7684" w:rsidRDefault="005C7684"/>
    <w:sectPr w:rsidR="005C7684" w:rsidSect="005C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8BF"/>
    <w:rsid w:val="005C7684"/>
    <w:rsid w:val="0068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828BF"/>
    <w:rPr>
      <w:b/>
      <w:bCs/>
    </w:rPr>
  </w:style>
  <w:style w:type="character" w:customStyle="1" w:styleId="apple-converted-space">
    <w:name w:val="apple-converted-space"/>
    <w:basedOn w:val="DefaultParagraphFont"/>
    <w:rsid w:val="00682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2017-02-13T12:12:00Z</dcterms:created>
  <dcterms:modified xsi:type="dcterms:W3CDTF">2017-02-13T12:13:00Z</dcterms:modified>
</cp:coreProperties>
</file>